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17A6F188" w:rsidR="009833A8" w:rsidRPr="00BF5ED9" w:rsidRDefault="009833A8" w:rsidP="00CD55B0">
      <w:pPr>
        <w:jc w:val="center"/>
      </w:pPr>
      <w:r w:rsidRPr="00BF5ED9">
        <w:t>Lease Rate</w:t>
      </w:r>
      <w:r w:rsidR="009007AF">
        <w:t>,</w:t>
      </w:r>
      <w:r w:rsidRPr="00BF5ED9">
        <w:t xml:space="preserve"> Annual Increase</w:t>
      </w:r>
      <w:r w:rsidR="00255E72">
        <w:t>, Renewals</w:t>
      </w:r>
      <w:r w:rsidRPr="00BF5ED9">
        <w:t xml:space="preserve"> and </w:t>
      </w:r>
      <w:r w:rsidR="00587470">
        <w:t>Purchase Option</w:t>
      </w:r>
    </w:p>
    <w:p w14:paraId="4D13CCDD" w14:textId="77777777" w:rsidR="009543AC" w:rsidRPr="00BF5ED9" w:rsidRDefault="009543AC" w:rsidP="009833A8">
      <w:pPr>
        <w:jc w:val="both"/>
      </w:pPr>
    </w:p>
    <w:p w14:paraId="0BA71806" w14:textId="5EB075BA" w:rsidR="009833A8" w:rsidRPr="006E0CB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F30599">
        <w:t>__</w:t>
      </w:r>
      <w:r w:rsidRPr="001C58DC">
        <w:t>, as an addendum to the Standard Commercial/Industrial Building Lease dated _______________, 20</w:t>
      </w:r>
      <w:r w:rsidR="00862E15">
        <w:t>2</w:t>
      </w:r>
      <w:r w:rsidR="00F30599">
        <w:t>__</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B21964" w:rsidRPr="001C58DC">
        <w:t xml:space="preserve">Hollingsworth Investments </w:t>
      </w:r>
      <w:r w:rsidR="00587470">
        <w:t>VIII</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683F16">
        <w:t>AGS America Inc</w:t>
      </w:r>
      <w:r w:rsidR="00B21964" w:rsidRPr="002A1EE2">
        <w:t xml:space="preserve">, </w:t>
      </w:r>
      <w:r w:rsidRPr="002A1EE2">
        <w:t>a</w:t>
      </w:r>
      <w:r w:rsidR="00587470">
        <w:t>n Alabama corporation</w:t>
      </w:r>
      <w:r w:rsidR="00862E15">
        <w:t xml:space="preserve"> </w:t>
      </w:r>
      <w:r w:rsidR="00587470" w:rsidDel="00587470">
        <w:t xml:space="preserve"> </w:t>
      </w:r>
      <w:r w:rsidRPr="002A1EE2">
        <w:t xml:space="preserve"> (“</w:t>
      </w:r>
      <w:r w:rsidR="009833A8" w:rsidRPr="002548C7">
        <w:rPr>
          <w:b/>
        </w:rPr>
        <w:t>Lessee</w:t>
      </w:r>
      <w:r>
        <w:t>”),</w:t>
      </w:r>
      <w:r w:rsidR="003931D1" w:rsidRPr="00BF5ED9">
        <w:t xml:space="preserve"> </w:t>
      </w:r>
      <w:r w:rsidR="001C58DC">
        <w:t xml:space="preserve">and </w:t>
      </w:r>
      <w:r w:rsidR="00862E15" w:rsidRPr="006E0CB9">
        <w:t>________________________, a ______________________ [</w:t>
      </w:r>
      <w:proofErr w:type="spellStart"/>
      <w:r w:rsidR="00862E15" w:rsidRPr="006E0CB9">
        <w:t>corp</w:t>
      </w:r>
      <w:proofErr w:type="spellEnd"/>
      <w:r w:rsidR="00862E15" w:rsidRPr="006E0CB9">
        <w:t xml:space="preserve">/LLC/general partnership]  </w:t>
      </w:r>
      <w:r w:rsidR="001C58DC" w:rsidRPr="006E0CB9">
        <w:t>(“</w:t>
      </w:r>
      <w:r w:rsidR="001C58DC" w:rsidRPr="006E0CB9">
        <w:rPr>
          <w:b/>
        </w:rPr>
        <w:t>Guarantor</w:t>
      </w:r>
      <w:r w:rsidR="001C58DC" w:rsidRPr="006E0CB9">
        <w:t>”)</w:t>
      </w:r>
      <w:r w:rsidR="00B21964" w:rsidRPr="006E0CB9">
        <w:t xml:space="preserve">, </w:t>
      </w:r>
      <w:r w:rsidR="003931D1" w:rsidRPr="006E0CB9">
        <w:t xml:space="preserve">for a </w:t>
      </w:r>
      <w:r w:rsidR="00587470" w:rsidRPr="006E0CB9">
        <w:t>126,824</w:t>
      </w:r>
      <w:r w:rsidR="002A1EE2" w:rsidRPr="006E0CB9">
        <w:t xml:space="preserve"> </w:t>
      </w:r>
      <w:r w:rsidR="00886443" w:rsidRPr="006E0CB9">
        <w:t>square foot</w:t>
      </w:r>
      <w:r w:rsidR="00C926EB" w:rsidRPr="006E0CB9">
        <w:t xml:space="preserve"> </w:t>
      </w:r>
      <w:r w:rsidR="00076FA1" w:rsidRPr="006E0CB9">
        <w:t xml:space="preserve">building </w:t>
      </w:r>
      <w:r w:rsidR="009833A8" w:rsidRPr="006E0CB9">
        <w:t xml:space="preserve">located </w:t>
      </w:r>
      <w:r w:rsidR="002A1EE2" w:rsidRPr="006E0CB9">
        <w:t xml:space="preserve">at </w:t>
      </w:r>
      <w:r w:rsidR="00587470" w:rsidRPr="006E0CB9">
        <w:t>1521 Mountain Road, Andersonville, Tennessee 37705</w:t>
      </w:r>
      <w:r w:rsidR="009833A8" w:rsidRPr="006E0CB9">
        <w:t xml:space="preserve">, </w:t>
      </w:r>
      <w:r w:rsidR="00DC1DA3" w:rsidRPr="006E0CB9">
        <w:t xml:space="preserve">being </w:t>
      </w:r>
      <w:r w:rsidR="00587470" w:rsidRPr="006E0CB9">
        <w:t>12.94</w:t>
      </w:r>
      <w:r w:rsidR="002A1EE2" w:rsidRPr="006E0CB9">
        <w:t xml:space="preserve"> +/- acres in the </w:t>
      </w:r>
      <w:r w:rsidR="00587470" w:rsidRPr="006E0CB9">
        <w:t>David Jones Industrial Park</w:t>
      </w:r>
      <w:r w:rsidR="00862E15" w:rsidRPr="006E0CB9">
        <w:t xml:space="preserve"> </w:t>
      </w:r>
      <w:r w:rsidR="005154DC" w:rsidRPr="006E0CB9">
        <w:t>(collectively</w:t>
      </w:r>
      <w:r w:rsidR="00DC1DA3" w:rsidRPr="006E0CB9">
        <w:t>,</w:t>
      </w:r>
      <w:r w:rsidR="005154DC" w:rsidRPr="006E0CB9">
        <w:t xml:space="preserve"> </w:t>
      </w:r>
      <w:r w:rsidR="00DC1DA3" w:rsidRPr="006E0CB9">
        <w:t>the building and</w:t>
      </w:r>
      <w:r w:rsidR="005154DC" w:rsidRPr="006E0CB9">
        <w:t xml:space="preserve"> land</w:t>
      </w:r>
      <w:r w:rsidR="00DC1DA3" w:rsidRPr="006E0CB9">
        <w:t xml:space="preserve"> shall be referred to as the</w:t>
      </w:r>
      <w:r w:rsidR="005154DC" w:rsidRPr="006E0CB9">
        <w:t xml:space="preserve"> “</w:t>
      </w:r>
      <w:r w:rsidR="006329E0" w:rsidRPr="006E0CB9">
        <w:rPr>
          <w:b/>
        </w:rPr>
        <w:t>Premises</w:t>
      </w:r>
      <w:r w:rsidR="005154DC" w:rsidRPr="006E0CB9">
        <w:t>”</w:t>
      </w:r>
      <w:r w:rsidR="00DC1DA3" w:rsidRPr="006E0CB9">
        <w:t>).</w:t>
      </w:r>
    </w:p>
    <w:p w14:paraId="24515A93" w14:textId="77777777" w:rsidR="009833A8" w:rsidRPr="006E0CB9" w:rsidRDefault="009833A8" w:rsidP="009833A8">
      <w:pPr>
        <w:jc w:val="both"/>
      </w:pPr>
    </w:p>
    <w:p w14:paraId="600C7C50" w14:textId="77777777" w:rsidR="00DC1DA3" w:rsidRPr="006E0CB9" w:rsidRDefault="00DC1DA3" w:rsidP="00DC1DA3">
      <w:pPr>
        <w:pStyle w:val="Subtitle"/>
      </w:pPr>
      <w:r w:rsidRPr="006E0CB9">
        <w:t>WITNESSETH:</w:t>
      </w:r>
    </w:p>
    <w:p w14:paraId="5A09EAC5" w14:textId="77777777" w:rsidR="00255E72" w:rsidRPr="006E0CB9" w:rsidRDefault="00DC1DA3" w:rsidP="00DC1DA3">
      <w:pPr>
        <w:pStyle w:val="BodyTextFirstIndent"/>
      </w:pPr>
      <w:proofErr w:type="gramStart"/>
      <w:r w:rsidRPr="006E0CB9">
        <w:t>WHEREAS,</w:t>
      </w:r>
      <w:proofErr w:type="gramEnd"/>
      <w:r w:rsidRPr="006E0CB9">
        <w:t xml:space="preserve"> Lessor and Lessee entered into the </w:t>
      </w:r>
      <w:r w:rsidR="00EE3E1F" w:rsidRPr="006E0CB9">
        <w:t>Lease</w:t>
      </w:r>
      <w:r w:rsidRPr="006E0CB9">
        <w:t xml:space="preserve"> </w:t>
      </w:r>
      <w:r w:rsidR="00EE3E1F" w:rsidRPr="006E0CB9">
        <w:t xml:space="preserve">as stated above.  </w:t>
      </w:r>
      <w:r w:rsidRPr="006E0CB9">
        <w:t>Capitalized terms not otherwise defined herein shall have the meaning ascribed to them in the Lease; and</w:t>
      </w:r>
    </w:p>
    <w:p w14:paraId="49805C03" w14:textId="77777777" w:rsidR="00DC1DA3" w:rsidRPr="00090451" w:rsidRDefault="00255E72" w:rsidP="00DC1DA3">
      <w:pPr>
        <w:pStyle w:val="BodyTextFirstIndent"/>
      </w:pPr>
      <w:r w:rsidRPr="006E0CB9">
        <w:t>WHEREAS, Guarantor has read</w:t>
      </w:r>
      <w:r w:rsidR="00A3287D" w:rsidRPr="006E0CB9">
        <w:t>,</w:t>
      </w:r>
      <w:r w:rsidRPr="006E0CB9">
        <w:t xml:space="preserve"> </w:t>
      </w:r>
      <w:proofErr w:type="gramStart"/>
      <w:r w:rsidRPr="006E0CB9">
        <w:t>understands</w:t>
      </w:r>
      <w:proofErr w:type="gramEnd"/>
      <w:r w:rsidRPr="006E0CB9">
        <w:t xml:space="preserve"> and approves the changes made to the Lease herein and </w:t>
      </w:r>
      <w:r w:rsidR="00A3287D" w:rsidRPr="006E0CB9">
        <w:t>executes this Addendum to acknowledge his</w:t>
      </w:r>
      <w:r w:rsidR="004150AE" w:rsidRPr="006E0CB9">
        <w:t>, her or its</w:t>
      </w:r>
      <w:r w:rsidR="00A3287D" w:rsidRPr="006E0CB9">
        <w:t xml:space="preserve"> agreement </w:t>
      </w:r>
      <w:r w:rsidRPr="006E0CB9">
        <w:t>that the changes herein will not change or limit his</w:t>
      </w:r>
      <w:r w:rsidR="004150AE" w:rsidRPr="006E0CB9">
        <w:t>, her or its</w:t>
      </w:r>
      <w:r w:rsidRPr="006E0CB9">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D09D408" w14:textId="77777777"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0D181A0A" w14:textId="55ABCB5D" w:rsidR="00CD35EA" w:rsidRPr="00587470" w:rsidRDefault="00CD35EA" w:rsidP="00CD35EA">
      <w:pPr>
        <w:pStyle w:val="BodyTextFirstIndent"/>
      </w:pPr>
      <w:r w:rsidRPr="00CD35EA">
        <w:t>Upon the Lease and Addendum being fully executed</w:t>
      </w:r>
      <w:r w:rsidR="004150AE">
        <w:t>,</w:t>
      </w:r>
      <w:r w:rsidRPr="00CD35EA">
        <w:t xml:space="preserve"> appropriate damage deposit received</w:t>
      </w:r>
      <w:r w:rsidR="004150AE">
        <w:t>,</w:t>
      </w:r>
      <w:r w:rsidRPr="00CD35EA">
        <w:t xml:space="preserve"> Lessee has provided p</w:t>
      </w:r>
      <w:r w:rsidR="00B41D32">
        <w:t>r</w:t>
      </w:r>
      <w:r w:rsidRPr="00CD35EA">
        <w:t>oof that the utilities have been transferred, proof insurance has been secured with a copy of the insurance policy and certificate on insurance naming Lessor as additional insured, the Lessee may occupy the facility pre-term rent free (“</w:t>
      </w:r>
      <w:r w:rsidRPr="00CD35EA">
        <w:rPr>
          <w:b/>
        </w:rPr>
        <w:t>Early Occupancy</w:t>
      </w:r>
      <w:r w:rsidRPr="00CD35EA">
        <w:t xml:space="preserve">”).  </w:t>
      </w:r>
      <w:r w:rsidR="00BE0E71">
        <w:t xml:space="preserve">Prior to </w:t>
      </w:r>
      <w:r w:rsidRPr="00CD35EA">
        <w:t xml:space="preserve">Early Occupancy, the parties will walk through the facility together and once completed will execute an Acceptance of Premises and Acknowledgment of Lease Commencement notice.  </w:t>
      </w:r>
      <w:r w:rsidRPr="00587470">
        <w:t xml:space="preserve">During Early Occupancy, the Lessee shall be subject to </w:t>
      </w:r>
      <w:proofErr w:type="gramStart"/>
      <w:r w:rsidRPr="00587470">
        <w:t>all of</w:t>
      </w:r>
      <w:proofErr w:type="gramEnd"/>
      <w:r w:rsidRPr="00587470">
        <w:t xml:space="preserve"> the terms and conditions of the Lease.</w:t>
      </w:r>
    </w:p>
    <w:p w14:paraId="7B14C0E1" w14:textId="77777777" w:rsidR="00587470" w:rsidRPr="00587470" w:rsidRDefault="00587470" w:rsidP="00587470">
      <w:pPr>
        <w:pStyle w:val="BodyTextFirstIndent"/>
        <w:numPr>
          <w:ilvl w:val="0"/>
          <w:numId w:val="5"/>
        </w:numPr>
        <w:suppressAutoHyphens/>
        <w:autoSpaceDN w:val="0"/>
        <w:ind w:left="540" w:hanging="540"/>
        <w:textAlignment w:val="baseline"/>
        <w:rPr>
          <w:b/>
          <w:u w:val="single"/>
        </w:rPr>
      </w:pPr>
      <w:r w:rsidRPr="00587470">
        <w:rPr>
          <w:b/>
          <w:u w:val="single"/>
        </w:rPr>
        <w:t>LEASE AND RENT COMMENCEMENT DATES</w:t>
      </w:r>
    </w:p>
    <w:p w14:paraId="66388341" w14:textId="0DCB6940" w:rsidR="00587470" w:rsidRPr="00587470" w:rsidRDefault="00587470" w:rsidP="00587470">
      <w:pPr>
        <w:pStyle w:val="BodyTextFirstIndent"/>
        <w:rPr>
          <w:u w:val="single"/>
        </w:rPr>
      </w:pPr>
      <w:r w:rsidRPr="00587470">
        <w:t xml:space="preserve">Although the Lessee may take possession of the Premises during Early Occupancy, Lessee will not be responsible for January 2022 through March 2022 rent.  The Lease and Rent shall commence on </w:t>
      </w:r>
      <w:r w:rsidR="00002CF3">
        <w:t xml:space="preserve">the Lease Commencement Date of </w:t>
      </w:r>
      <w:r w:rsidRPr="00587470">
        <w:t>April 1, 2022</w:t>
      </w:r>
      <w:r w:rsidR="005E6337">
        <w:t>,</w:t>
      </w:r>
      <w:r w:rsidRPr="00587470">
        <w:t xml:space="preserve"> </w:t>
      </w:r>
      <w:r w:rsidR="00002CF3">
        <w:t>as set forth in the Lease</w:t>
      </w:r>
      <w:r w:rsidRPr="00587470">
        <w:t>.</w:t>
      </w:r>
    </w:p>
    <w:p w14:paraId="70ABB105" w14:textId="5CCD5A26"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39A58AC4" w:rsidR="00FD58DF" w:rsidRPr="00002CF3" w:rsidRDefault="00C66B93" w:rsidP="00C66B93">
      <w:pPr>
        <w:ind w:left="720"/>
        <w:jc w:val="both"/>
      </w:pPr>
      <w:r w:rsidRPr="00C66B93">
        <w:t>First Year Rate: $</w:t>
      </w:r>
      <w:r w:rsidR="00002CF3">
        <w:t>5.78</w:t>
      </w:r>
      <w:r w:rsidRPr="00C66B93">
        <w:t>/square foot/year</w:t>
      </w:r>
      <w:r w:rsidR="007228F7">
        <w:t xml:space="preserve">.  </w:t>
      </w:r>
      <w:r w:rsidR="00862E15">
        <w:t>Upon the first anniversary date of the Lease Commencement Date and for all consecutive anniversaries thereafter, the lease base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 xml:space="preserve">of the Lease </w:t>
      </w:r>
      <w:r w:rsidR="00862E15" w:rsidRPr="00002CF3">
        <w:t>Commencement Date</w:t>
      </w:r>
      <w:r w:rsidR="00FD58DF" w:rsidRPr="00002CF3">
        <w:t>, but not less than three percent (3%).</w:t>
      </w:r>
    </w:p>
    <w:p w14:paraId="1EC94E62" w14:textId="77777777" w:rsidR="00002CF3" w:rsidRPr="00002CF3" w:rsidRDefault="00002CF3" w:rsidP="00C66B93">
      <w:pPr>
        <w:ind w:left="720"/>
        <w:jc w:val="both"/>
      </w:pPr>
    </w:p>
    <w:p w14:paraId="5356C1CD" w14:textId="77777777" w:rsidR="00002CF3" w:rsidRPr="00002CF3" w:rsidRDefault="00002CF3" w:rsidP="00340889">
      <w:pPr>
        <w:pStyle w:val="BodyText"/>
        <w:numPr>
          <w:ilvl w:val="0"/>
          <w:numId w:val="5"/>
        </w:numPr>
        <w:suppressAutoHyphens/>
        <w:autoSpaceDN w:val="0"/>
        <w:spacing w:after="0"/>
        <w:ind w:left="360"/>
        <w:jc w:val="both"/>
        <w:textAlignment w:val="baseline"/>
        <w:rPr>
          <w:b/>
          <w:u w:val="single"/>
        </w:rPr>
      </w:pPr>
      <w:r w:rsidRPr="00002CF3">
        <w:rPr>
          <w:b/>
          <w:u w:val="single"/>
        </w:rPr>
        <w:t>BUILDING CHANGES</w:t>
      </w:r>
    </w:p>
    <w:p w14:paraId="4255C065" w14:textId="77777777" w:rsidR="00002CF3" w:rsidRPr="00002CF3" w:rsidRDefault="00002CF3" w:rsidP="00002CF3">
      <w:pPr>
        <w:pStyle w:val="BodyText"/>
        <w:tabs>
          <w:tab w:val="left" w:pos="720"/>
        </w:tabs>
        <w:spacing w:after="0"/>
        <w:jc w:val="both"/>
        <w:rPr>
          <w:b/>
          <w:u w:val="single"/>
        </w:rPr>
      </w:pPr>
    </w:p>
    <w:p w14:paraId="6EC2C43F" w14:textId="77777777" w:rsidR="00002CF3" w:rsidRPr="00002CF3" w:rsidRDefault="00002CF3" w:rsidP="00002CF3">
      <w:pPr>
        <w:pStyle w:val="BodyText"/>
        <w:tabs>
          <w:tab w:val="left" w:pos="720"/>
        </w:tabs>
        <w:spacing w:after="0"/>
        <w:jc w:val="both"/>
      </w:pPr>
      <w:r w:rsidRPr="00002CF3">
        <w:tab/>
        <w:t xml:space="preserve">Lessor is aware that the Lessee will make changes to the building and add equipment and trade fixtures to the Premises at Lessee’s expense for a light manufacturing and distribution facility.  All changes must meet all codes, </w:t>
      </w:r>
      <w:proofErr w:type="gramStart"/>
      <w:r w:rsidRPr="00002CF3">
        <w:t>regulations</w:t>
      </w:r>
      <w:proofErr w:type="gramEnd"/>
      <w:r w:rsidRPr="00002CF3">
        <w:t xml:space="preserve"> and zoning requirements for the jurisdiction.  Except as set forth in </w:t>
      </w:r>
      <w:r w:rsidRPr="00002CF3">
        <w:rPr>
          <w:u w:val="single"/>
        </w:rPr>
        <w:t>Section 8</w:t>
      </w:r>
      <w:r w:rsidRPr="00002CF3">
        <w:t xml:space="preserve"> of the Lease, all building changes must be submitted with construction plans and specifications to Lessor for prior written consent, which consent will not be unreasonably withheld.</w:t>
      </w:r>
    </w:p>
    <w:p w14:paraId="364E3B8A" w14:textId="77777777" w:rsidR="00862E15" w:rsidRPr="00002CF3" w:rsidRDefault="00862E15" w:rsidP="00862E15">
      <w:pPr>
        <w:pStyle w:val="ListParagraph"/>
        <w:jc w:val="both"/>
      </w:pPr>
    </w:p>
    <w:p w14:paraId="011B0663" w14:textId="7A173DEC" w:rsidR="00F14602" w:rsidRPr="00002CF3" w:rsidRDefault="00255E72" w:rsidP="00F14602">
      <w:pPr>
        <w:ind w:firstLine="720"/>
        <w:jc w:val="both"/>
      </w:pPr>
      <w:r w:rsidRPr="00002CF3">
        <w:t>Premises to be delivered where-i</w:t>
      </w:r>
      <w:r w:rsidR="00A3287D" w:rsidRPr="00002CF3">
        <w:t>s</w:t>
      </w:r>
      <w:r w:rsidRPr="00002CF3">
        <w:t>, “As Is</w:t>
      </w:r>
      <w:r w:rsidR="008228D5" w:rsidRPr="00002CF3">
        <w:t>, Where Is,</w:t>
      </w:r>
      <w:r w:rsidRPr="00002CF3">
        <w:t xml:space="preserve">” except for Lessor’s Warranties as described </w:t>
      </w:r>
      <w:r w:rsidRPr="00683F16">
        <w:t xml:space="preserve">in </w:t>
      </w:r>
      <w:r w:rsidRPr="00683F16">
        <w:rPr>
          <w:u w:val="single"/>
        </w:rPr>
        <w:t xml:space="preserve">Section </w:t>
      </w:r>
      <w:r w:rsidR="00635D06" w:rsidRPr="00683F16">
        <w:rPr>
          <w:u w:val="single"/>
        </w:rPr>
        <w:t>8</w:t>
      </w:r>
      <w:r w:rsidRPr="00683F16">
        <w:t xml:space="preserve"> of this</w:t>
      </w:r>
      <w:r w:rsidRPr="00002CF3">
        <w:t xml:space="preserve"> Addendum.</w:t>
      </w:r>
    </w:p>
    <w:p w14:paraId="5F6A070C" w14:textId="019D40F0" w:rsidR="00862E15" w:rsidRDefault="00862E15" w:rsidP="00F14602">
      <w:pPr>
        <w:ind w:firstLine="720"/>
        <w:jc w:val="both"/>
      </w:pPr>
    </w:p>
    <w:p w14:paraId="04D0B50C" w14:textId="77777777" w:rsidR="007E1E00" w:rsidRPr="00A5404F" w:rsidRDefault="00484153" w:rsidP="00340889">
      <w:pPr>
        <w:pStyle w:val="ListParagraph"/>
        <w:numPr>
          <w:ilvl w:val="0"/>
          <w:numId w:val="5"/>
        </w:numPr>
        <w:spacing w:before="240" w:after="240"/>
        <w:ind w:left="360"/>
        <w:rPr>
          <w:b/>
          <w:u w:val="single"/>
        </w:rPr>
      </w:pPr>
      <w:r w:rsidRPr="00BF5ED9">
        <w:rPr>
          <w:b/>
          <w:u w:val="single"/>
        </w:rPr>
        <w:lastRenderedPageBreak/>
        <w:t>RENEWALS</w:t>
      </w:r>
      <w:r w:rsidR="007E1E00">
        <w:rPr>
          <w:b/>
          <w:u w:val="single"/>
        </w:rPr>
        <w:t xml:space="preserve"> FOR THE </w:t>
      </w:r>
      <w:r w:rsidR="006329E0">
        <w:rPr>
          <w:b/>
          <w:u w:val="single"/>
        </w:rPr>
        <w:t>PREMISES</w:t>
      </w:r>
    </w:p>
    <w:p w14:paraId="55BE3FDC" w14:textId="226BA434" w:rsidR="00372E63" w:rsidRDefault="00372E63" w:rsidP="009A645B">
      <w:pPr>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5744FB00" w14:textId="77777777" w:rsidR="00372004" w:rsidRPr="009D1985" w:rsidRDefault="00372004" w:rsidP="00340889">
      <w:pPr>
        <w:pStyle w:val="ListParagraph"/>
        <w:numPr>
          <w:ilvl w:val="0"/>
          <w:numId w:val="5"/>
        </w:numPr>
        <w:spacing w:before="240" w:after="240"/>
        <w:ind w:left="360"/>
        <w:rPr>
          <w:b/>
          <w:u w:val="single"/>
        </w:rPr>
      </w:pPr>
      <w:r w:rsidRPr="009D1985">
        <w:rPr>
          <w:b/>
          <w:u w:val="single"/>
        </w:rPr>
        <w:t>BROKERS</w:t>
      </w:r>
    </w:p>
    <w:p w14:paraId="0C5E1641" w14:textId="6A88B425" w:rsidR="00372004" w:rsidRPr="009D1985" w:rsidRDefault="00372004" w:rsidP="00372004">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e Lease, and if either party engages a broker to represent that party’s interest, said party shall be solely responsible for compensating the broker for services rendered</w:t>
      </w:r>
      <w:r w:rsidRPr="009D1985">
        <w:t xml:space="preserve">.  </w:t>
      </w:r>
    </w:p>
    <w:p w14:paraId="57D5813E" w14:textId="27F46587" w:rsidR="00372004" w:rsidRDefault="00372004" w:rsidP="00AE72D6">
      <w:pPr>
        <w:widowControl w:val="0"/>
        <w:tabs>
          <w:tab w:val="left" w:pos="2240"/>
        </w:tabs>
        <w:ind w:right="115" w:firstLine="720"/>
        <w:jc w:val="both"/>
      </w:pPr>
    </w:p>
    <w:p w14:paraId="24AB18CE" w14:textId="3B25C3EF" w:rsidR="00B40976" w:rsidRDefault="00B40976" w:rsidP="00AE72D6">
      <w:pPr>
        <w:widowControl w:val="0"/>
        <w:numPr>
          <w:ilvl w:val="0"/>
          <w:numId w:val="5"/>
        </w:numPr>
        <w:tabs>
          <w:tab w:val="left" w:pos="2240"/>
        </w:tabs>
        <w:ind w:left="360" w:right="115"/>
        <w:jc w:val="both"/>
        <w:rPr>
          <w:b/>
          <w:u w:val="single"/>
        </w:rPr>
      </w:pPr>
      <w:r w:rsidRPr="00B40976">
        <w:rPr>
          <w:b/>
          <w:u w:val="single"/>
        </w:rPr>
        <w:t>PURCHASE OPTION</w:t>
      </w:r>
    </w:p>
    <w:p w14:paraId="32DA7081" w14:textId="77777777" w:rsidR="00AE72D6" w:rsidRPr="00B40976" w:rsidRDefault="00AE72D6" w:rsidP="00AE72D6">
      <w:pPr>
        <w:widowControl w:val="0"/>
        <w:tabs>
          <w:tab w:val="left" w:pos="2240"/>
        </w:tabs>
        <w:ind w:left="360" w:right="115"/>
        <w:jc w:val="both"/>
        <w:rPr>
          <w:b/>
          <w:u w:val="single"/>
        </w:rPr>
      </w:pPr>
    </w:p>
    <w:p w14:paraId="52E3504E" w14:textId="103B54EC" w:rsidR="00B40976" w:rsidRDefault="00B40976" w:rsidP="00AE72D6">
      <w:pPr>
        <w:widowControl w:val="0"/>
        <w:tabs>
          <w:tab w:val="left" w:pos="2240"/>
        </w:tabs>
        <w:ind w:right="115" w:firstLine="720"/>
        <w:jc w:val="both"/>
      </w:pPr>
      <w:bookmarkStart w:id="0" w:name="_Hlk90981227"/>
      <w:r w:rsidRPr="00B40976">
        <w:t xml:space="preserve">It is agreed that beginning on the </w:t>
      </w:r>
      <w:r w:rsidR="0031787B">
        <w:t>eighteenth</w:t>
      </w:r>
      <w:r w:rsidR="0031787B" w:rsidRPr="00B40976">
        <w:t xml:space="preserve"> </w:t>
      </w:r>
      <w:r w:rsidRPr="00B40976">
        <w:t>(1</w:t>
      </w:r>
      <w:r w:rsidR="0031787B">
        <w:t>8</w:t>
      </w:r>
      <w:r w:rsidRPr="00B40976">
        <w:rPr>
          <w:vertAlign w:val="superscript"/>
        </w:rPr>
        <w:t>th</w:t>
      </w:r>
      <w:r w:rsidRPr="00B40976">
        <w:t xml:space="preserve">) month following the Lease Commencement Date and continuing </w:t>
      </w:r>
      <w:r w:rsidR="0031787B">
        <w:t>through month Thirty-Six (36) of the Lease term</w:t>
      </w:r>
      <w:r w:rsidRPr="00B40976">
        <w:t xml:space="preserve">, the Lessee will have an Option to Purchase the Premises </w:t>
      </w:r>
      <w:r w:rsidR="0031787B">
        <w:t>(the “</w:t>
      </w:r>
      <w:r w:rsidR="0031787B" w:rsidRPr="0031787B">
        <w:rPr>
          <w:b/>
          <w:bCs/>
        </w:rPr>
        <w:t>Option to Purchase</w:t>
      </w:r>
      <w:r w:rsidR="0031787B">
        <w:t xml:space="preserve">”) </w:t>
      </w:r>
      <w:r w:rsidRPr="00B40976">
        <w:t xml:space="preserve">at a purchase price </w:t>
      </w:r>
      <w:r w:rsidR="0031787B">
        <w:t xml:space="preserve">of </w:t>
      </w:r>
      <w:r w:rsidR="00493706">
        <w:t xml:space="preserve">Eight </w:t>
      </w:r>
      <w:r w:rsidR="0031787B">
        <w:t xml:space="preserve">Million </w:t>
      </w:r>
      <w:r w:rsidR="00493706">
        <w:t xml:space="preserve">Four </w:t>
      </w:r>
      <w:r w:rsidR="0031787B">
        <w:t xml:space="preserve">Hundred </w:t>
      </w:r>
      <w:r w:rsidR="00493706">
        <w:t>Eighty-five</w:t>
      </w:r>
      <w:r w:rsidR="0031787B">
        <w:t xml:space="preserve"> Thousand, </w:t>
      </w:r>
      <w:r w:rsidR="00493706">
        <w:t xml:space="preserve">Eight </w:t>
      </w:r>
      <w:r w:rsidR="0031787B">
        <w:t>Hundred Dollars ($</w:t>
      </w:r>
      <w:r w:rsidR="00493706">
        <w:t>8,485,800</w:t>
      </w:r>
      <w:r w:rsidR="0031787B">
        <w:t>.00)</w:t>
      </w:r>
      <w:r w:rsidR="00683F16">
        <w:t xml:space="preserve"> net to Seller</w:t>
      </w:r>
      <w:r w:rsidR="0031787B">
        <w:t xml:space="preserve"> </w:t>
      </w:r>
      <w:r w:rsidR="00684AE3">
        <w:t>for the base building with any adjustments as follows:  Any upfits paid by Lessor and rolled into the Lease Rate will be added to the base building purchase price.  The price will increase</w:t>
      </w:r>
      <w:r w:rsidR="00493706">
        <w:t xml:space="preserve"> annually</w:t>
      </w:r>
      <w:r w:rsidR="00684AE3">
        <w:t xml:space="preserve"> by the Consumer Price Index published closest to the anniversary date of the Lease Commencement Date, but not less than three percent (3%).  Thereafter this Option to Purchase shall become null and void. </w:t>
      </w:r>
    </w:p>
    <w:bookmarkEnd w:id="0"/>
    <w:p w14:paraId="758CA663" w14:textId="77777777" w:rsidR="00B40976" w:rsidRPr="00B40976" w:rsidRDefault="00B40976" w:rsidP="00AE72D6">
      <w:pPr>
        <w:widowControl w:val="0"/>
        <w:tabs>
          <w:tab w:val="left" w:pos="2240"/>
        </w:tabs>
        <w:ind w:right="115" w:firstLine="720"/>
        <w:jc w:val="both"/>
      </w:pPr>
    </w:p>
    <w:p w14:paraId="2FD80CF1" w14:textId="34F79792" w:rsidR="00B40976" w:rsidRPr="00B40976" w:rsidRDefault="00B40976" w:rsidP="00AE72D6">
      <w:pPr>
        <w:widowControl w:val="0"/>
        <w:tabs>
          <w:tab w:val="left" w:pos="2240"/>
        </w:tabs>
        <w:ind w:right="111" w:firstLine="720"/>
        <w:jc w:val="both"/>
      </w:pPr>
      <w:r w:rsidRPr="00B40976">
        <w:t xml:space="preserve">Should the Lessee elect to exercise the above stated </w:t>
      </w:r>
      <w:r w:rsidR="00684AE3">
        <w:t>Option to P</w:t>
      </w:r>
      <w:r w:rsidRPr="00B40976">
        <w:t xml:space="preserve">urchase, Lessee shall notify Lessor in writing and shall close the purchase within sixty (60) days after said notification to Lessor.  </w:t>
      </w:r>
    </w:p>
    <w:p w14:paraId="0E753F76" w14:textId="77777777" w:rsidR="00B40976" w:rsidRPr="00B40976" w:rsidRDefault="00B40976" w:rsidP="00AE72D6">
      <w:pPr>
        <w:widowControl w:val="0"/>
        <w:tabs>
          <w:tab w:val="left" w:pos="2240"/>
        </w:tabs>
        <w:ind w:right="115" w:firstLine="720"/>
        <w:jc w:val="both"/>
      </w:pPr>
    </w:p>
    <w:p w14:paraId="43105767" w14:textId="74A763D9" w:rsidR="00B40976" w:rsidRDefault="00B40976" w:rsidP="00AE72D6">
      <w:pPr>
        <w:widowControl w:val="0"/>
        <w:tabs>
          <w:tab w:val="left" w:pos="2240"/>
        </w:tabs>
        <w:ind w:right="111" w:firstLine="720"/>
        <w:jc w:val="both"/>
      </w:pPr>
      <w:r w:rsidRPr="00B40976">
        <w:t xml:space="preserve">Within two (2) months following the execution of this Addendum, </w:t>
      </w:r>
      <w:r w:rsidR="00364AFB">
        <w:t>at Lessee’s election</w:t>
      </w:r>
      <w:r w:rsidR="00255540">
        <w:t>,</w:t>
      </w:r>
      <w:r w:rsidRPr="00B40976">
        <w:t xml:space="preserve"> agree to execute a Memorandum of Option, in standard form, which may be recorded by either party.  Lessee shall be responsible for the cost of recordation and preparation of such Memorandum of Option.</w:t>
      </w:r>
    </w:p>
    <w:p w14:paraId="18B7C431" w14:textId="77777777" w:rsidR="00AE72D6" w:rsidRDefault="00AE72D6" w:rsidP="00AE72D6">
      <w:pPr>
        <w:widowControl w:val="0"/>
        <w:tabs>
          <w:tab w:val="left" w:pos="2240"/>
        </w:tabs>
        <w:ind w:right="111" w:firstLine="720"/>
        <w:jc w:val="both"/>
      </w:pPr>
    </w:p>
    <w:p w14:paraId="64F5D379" w14:textId="77777777" w:rsidR="007E1E00" w:rsidRPr="00A5404F" w:rsidRDefault="00F06533" w:rsidP="00AE72D6">
      <w:pPr>
        <w:pStyle w:val="ListParagraph"/>
        <w:numPr>
          <w:ilvl w:val="0"/>
          <w:numId w:val="5"/>
        </w:numPr>
        <w:ind w:left="360"/>
        <w:rPr>
          <w:b/>
          <w:u w:val="single"/>
        </w:rPr>
      </w:pPr>
      <w:r w:rsidRPr="00BF5ED9">
        <w:rPr>
          <w:b/>
          <w:u w:val="single"/>
        </w:rPr>
        <w:t>WARRANTIES</w:t>
      </w:r>
    </w:p>
    <w:p w14:paraId="5C2A50A3" w14:textId="77777777" w:rsidR="00635D06" w:rsidRDefault="00635D06" w:rsidP="00C04CD1">
      <w:pPr>
        <w:ind w:firstLine="720"/>
        <w:jc w:val="both"/>
      </w:pPr>
    </w:p>
    <w:p w14:paraId="45BEA69E" w14:textId="455EAD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5B887B2F"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F7778D" w:rsidRPr="00BF5ED9">
        <w:t>w</w:t>
      </w:r>
      <w:r w:rsidRPr="00BF5ED9">
        <w:t xml:space="preserve">ork against defective design, </w:t>
      </w:r>
      <w:proofErr w:type="gramStart"/>
      <w:r w:rsidRPr="00BF5ED9">
        <w:t>workmanship</w:t>
      </w:r>
      <w:proofErr w:type="gramEnd"/>
      <w:r w:rsidRPr="00BF5ED9">
        <w:t xml:space="preserve"> and materials, latent or otherwise, for a period of one (1) year from the </w:t>
      </w:r>
      <w:r w:rsidR="001B13E7">
        <w:t xml:space="preserve">execution </w:t>
      </w:r>
      <w:r w:rsidR="001B13E7" w:rsidRPr="00340889">
        <w:t>of the Lease</w:t>
      </w:r>
      <w:r w:rsidR="00356DC7" w:rsidRPr="00340889">
        <w:t xml:space="preserve"> </w:t>
      </w:r>
      <w:r w:rsidR="002466BF" w:rsidRPr="00340889">
        <w:t>(the</w:t>
      </w:r>
      <w:r w:rsidR="002466BF" w:rsidRPr="00BF5ED9">
        <w:t xml:space="preserve"> “</w:t>
      </w:r>
      <w:r w:rsidR="002466BF" w:rsidRPr="00C04CD1">
        <w:rPr>
          <w:b/>
        </w:rPr>
        <w:t>Warranty Period</w:t>
      </w:r>
      <w:r w:rsidR="002466BF" w:rsidRPr="00BF5ED9">
        <w:t>”).</w:t>
      </w:r>
    </w:p>
    <w:p w14:paraId="086DC3EE" w14:textId="77777777" w:rsidR="007E1E00" w:rsidRPr="00A5404F" w:rsidRDefault="002466BF" w:rsidP="00340889">
      <w:pPr>
        <w:pStyle w:val="ListParagraph"/>
        <w:numPr>
          <w:ilvl w:val="0"/>
          <w:numId w:val="5"/>
        </w:numPr>
        <w:spacing w:before="240" w:after="240"/>
        <w:ind w:left="360"/>
        <w:rPr>
          <w:b/>
          <w:u w:val="single"/>
        </w:rPr>
      </w:pPr>
      <w:r w:rsidRPr="00BF5ED9">
        <w:rPr>
          <w:b/>
          <w:u w:val="single"/>
        </w:rPr>
        <w:t>QUIET ENJOYMENT</w:t>
      </w:r>
    </w:p>
    <w:p w14:paraId="7602330F" w14:textId="670CE267" w:rsidR="00710CD2"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635D06">
      <w:pPr>
        <w:pStyle w:val="ListParagraph"/>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635D06">
      <w:pPr>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6E0CB9">
      <w:pPr>
        <w:pStyle w:val="ListParagraph"/>
        <w:keepNext/>
        <w:numPr>
          <w:ilvl w:val="0"/>
          <w:numId w:val="5"/>
        </w:numPr>
        <w:spacing w:before="240" w:after="240"/>
        <w:ind w:left="360"/>
        <w:rPr>
          <w:b/>
          <w:u w:val="single"/>
        </w:rPr>
      </w:pPr>
      <w:r w:rsidRPr="00BF5ED9">
        <w:rPr>
          <w:b/>
          <w:u w:val="single"/>
        </w:rPr>
        <w:lastRenderedPageBreak/>
        <w:t>SUBORDINATION, NON-DISTURBANCE &amp; ATTORNMENT</w:t>
      </w:r>
    </w:p>
    <w:p w14:paraId="39FF784D" w14:textId="55F6E01E" w:rsidR="00F93758" w:rsidRPr="00BF5ED9" w:rsidRDefault="002466BF" w:rsidP="006E0CB9">
      <w:pPr>
        <w:keepNext/>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340889">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340889">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Pr="006E0CB9"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w:t>
      </w:r>
      <w:r w:rsidR="009A645B" w:rsidRPr="006E0CB9">
        <w:t>er of Lessee.</w:t>
      </w:r>
    </w:p>
    <w:p w14:paraId="582A3A45" w14:textId="77777777" w:rsidR="002A1EE2" w:rsidRPr="006E0CB9" w:rsidRDefault="002A1EE2" w:rsidP="002A1EE2">
      <w:pPr>
        <w:ind w:firstLine="720"/>
      </w:pPr>
    </w:p>
    <w:p w14:paraId="670A5453" w14:textId="77777777" w:rsidR="002A1EE2" w:rsidRPr="006E0CB9" w:rsidRDefault="007228F7" w:rsidP="002A1EE2">
      <w:pPr>
        <w:ind w:right="77" w:firstLine="720"/>
        <w:jc w:val="both"/>
        <w:rPr>
          <w:bCs/>
        </w:rPr>
      </w:pPr>
      <w:r w:rsidRPr="006E0CB9">
        <w:rPr>
          <w:bCs/>
        </w:rPr>
        <w:t xml:space="preserve">If Guarantor is not an individual, then </w:t>
      </w:r>
      <w:r w:rsidR="002A1EE2" w:rsidRPr="006E0CB9">
        <w:rPr>
          <w:bCs/>
        </w:rPr>
        <w:t xml:space="preserve">Guarantor represents and warrants that: (a) Guarantor has taken all actions required by law, its governing documents or otherwise to authorize the execution, </w:t>
      </w:r>
      <w:proofErr w:type="gramStart"/>
      <w:r w:rsidR="002A1EE2" w:rsidRPr="006E0CB9">
        <w:rPr>
          <w:bCs/>
        </w:rPr>
        <w:t>delivery</w:t>
      </w:r>
      <w:proofErr w:type="gramEnd"/>
      <w:r w:rsidR="002A1EE2" w:rsidRPr="006E0CB9">
        <w:rPr>
          <w:bCs/>
        </w:rPr>
        <w:t xml:space="preserve"> and performance of this </w:t>
      </w:r>
      <w:r w:rsidR="00F852E1" w:rsidRPr="006E0CB9">
        <w:rPr>
          <w:bCs/>
        </w:rPr>
        <w:t>Addendum</w:t>
      </w:r>
      <w:r w:rsidR="002A1EE2" w:rsidRPr="006E0CB9">
        <w:rPr>
          <w:bCs/>
        </w:rPr>
        <w:t xml:space="preserve">; and (b) this </w:t>
      </w:r>
      <w:r w:rsidR="00F852E1" w:rsidRPr="006E0CB9">
        <w:rPr>
          <w:bCs/>
        </w:rPr>
        <w:t xml:space="preserve">Addendum </w:t>
      </w:r>
      <w:r w:rsidR="002A1EE2" w:rsidRPr="006E0CB9">
        <w:rPr>
          <w:bCs/>
        </w:rPr>
        <w:t>has been duly executed and delivered by a duly authorized officer of Guarantor.</w:t>
      </w:r>
    </w:p>
    <w:p w14:paraId="1251E1DA" w14:textId="77777777" w:rsidR="002A1EE2" w:rsidRPr="006E0CB9" w:rsidRDefault="002A1EE2" w:rsidP="002A1EE2">
      <w:pPr>
        <w:ind w:right="77" w:firstLine="720"/>
        <w:jc w:val="both"/>
        <w:rPr>
          <w:bCs/>
        </w:rPr>
      </w:pPr>
    </w:p>
    <w:p w14:paraId="6A5218AC" w14:textId="77777777" w:rsidR="002A1EE2" w:rsidRPr="006E0CB9" w:rsidRDefault="002A1EE2" w:rsidP="002A1EE2">
      <w:pPr>
        <w:ind w:right="77" w:firstLine="720"/>
        <w:jc w:val="both"/>
        <w:rPr>
          <w:b/>
          <w:bCs/>
        </w:rPr>
      </w:pPr>
      <w:r w:rsidRPr="006E0CB9">
        <w:rPr>
          <w:bCs/>
        </w:rPr>
        <w:t xml:space="preserve">Lessee and Guarantor have further authorized and taken all actions required by law, their governing documents or otherwise to authorize the execution, delivery and performance of any previous, present, and future amendments and change orders that may occur to be executed by </w:t>
      </w:r>
      <w:r w:rsidR="008228D5" w:rsidRPr="006E0CB9">
        <w:rPr>
          <w:bCs/>
        </w:rPr>
        <w:t xml:space="preserve">Lessee or </w:t>
      </w:r>
      <w:r w:rsidRPr="006E0CB9">
        <w:rPr>
          <w:bCs/>
        </w:rPr>
        <w:t>its local representatives.</w:t>
      </w:r>
    </w:p>
    <w:p w14:paraId="6A896C54" w14:textId="77777777" w:rsidR="005615FA" w:rsidRPr="006E0CB9" w:rsidRDefault="00EE3E1F" w:rsidP="00340889">
      <w:pPr>
        <w:pStyle w:val="ListParagraph"/>
        <w:numPr>
          <w:ilvl w:val="0"/>
          <w:numId w:val="5"/>
        </w:numPr>
        <w:spacing w:before="240" w:after="240"/>
        <w:ind w:left="360"/>
        <w:rPr>
          <w:b/>
          <w:u w:val="single"/>
        </w:rPr>
      </w:pPr>
      <w:r w:rsidRPr="006E0CB9">
        <w:rPr>
          <w:b/>
          <w:u w:val="single"/>
        </w:rPr>
        <w:t>MISCELLANEOUS</w:t>
      </w:r>
    </w:p>
    <w:p w14:paraId="350DB74C" w14:textId="77777777" w:rsidR="009A645B" w:rsidRPr="006E0CB9" w:rsidRDefault="009A645B" w:rsidP="009A645B">
      <w:pPr>
        <w:pStyle w:val="ListParagraph"/>
        <w:ind w:left="360"/>
        <w:rPr>
          <w:b/>
          <w:u w:val="single"/>
        </w:rPr>
      </w:pPr>
    </w:p>
    <w:p w14:paraId="6A3D9DD9" w14:textId="77777777" w:rsidR="00EE3E1F" w:rsidRPr="006E0CB9" w:rsidRDefault="00EE3E1F" w:rsidP="00B21A37">
      <w:pPr>
        <w:pStyle w:val="BodyText"/>
        <w:spacing w:after="0"/>
        <w:ind w:firstLine="720"/>
        <w:jc w:val="both"/>
      </w:pPr>
      <w:r w:rsidRPr="006E0CB9">
        <w:t xml:space="preserve">This </w:t>
      </w:r>
      <w:r w:rsidR="00FD58DF" w:rsidRPr="006E0CB9">
        <w:t>Addendum</w:t>
      </w:r>
      <w:r w:rsidRPr="006E0CB9">
        <w:t xml:space="preserve"> shall be attached to, made a part </w:t>
      </w:r>
      <w:proofErr w:type="gramStart"/>
      <w:r w:rsidRPr="006E0CB9">
        <w:t>of</w:t>
      </w:r>
      <w:proofErr w:type="gramEnd"/>
      <w:r w:rsidRPr="006E0CB9">
        <w:t xml:space="preserve"> and wholly merged into the Lease.  The Lease, supplemented by this </w:t>
      </w:r>
      <w:r w:rsidR="00FD58DF" w:rsidRPr="006E0CB9">
        <w:t>Addendum</w:t>
      </w:r>
      <w:r w:rsidRPr="006E0CB9">
        <w:t xml:space="preserve">, is to remain in full force and effect and is to be deemed superseded by this </w:t>
      </w:r>
      <w:r w:rsidR="00FD58DF" w:rsidRPr="006E0CB9">
        <w:t>Addendum</w:t>
      </w:r>
      <w:r w:rsidRPr="006E0CB9">
        <w:t xml:space="preserve"> to the extent necessary to implement the terms of this </w:t>
      </w:r>
      <w:r w:rsidR="00FD58DF" w:rsidRPr="006E0CB9">
        <w:t>Addendum</w:t>
      </w:r>
      <w:r w:rsidRPr="006E0CB9">
        <w:t xml:space="preserve">.  If there is a conflict between the terms of this </w:t>
      </w:r>
      <w:r w:rsidR="00FD58DF" w:rsidRPr="006E0CB9">
        <w:t>Addendum</w:t>
      </w:r>
      <w:r w:rsidRPr="006E0CB9">
        <w:t xml:space="preserve"> and the Lease, the terms of this </w:t>
      </w:r>
      <w:r w:rsidR="00FD58DF" w:rsidRPr="006E0CB9">
        <w:t>Addendum</w:t>
      </w:r>
      <w:r w:rsidRPr="006E0CB9">
        <w:t xml:space="preserve"> shall control.</w:t>
      </w:r>
    </w:p>
    <w:p w14:paraId="58DD735C" w14:textId="77777777" w:rsidR="00B21A37" w:rsidRPr="006E0CB9"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6E0CB9">
        <w:t>Lessee</w:t>
      </w:r>
      <w:r w:rsidR="001B13E7" w:rsidRPr="006E0CB9">
        <w:t>, Guarantor,</w:t>
      </w:r>
      <w:r w:rsidRPr="006E0CB9">
        <w:t xml:space="preserve"> and Lessor have agreed to the above terms and conditions to the Lease and to this </w:t>
      </w:r>
      <w:r w:rsidR="00FD58DF" w:rsidRPr="006E0CB9">
        <w:t>Addendum</w:t>
      </w:r>
      <w:r w:rsidRPr="006E0CB9">
        <w:t xml:space="preserve">.  No supplement, modification or amendment of the Lease or this </w:t>
      </w:r>
      <w:r w:rsidR="00FD58DF" w:rsidRPr="006E0CB9">
        <w:t>Addendum</w:t>
      </w:r>
      <w:r w:rsidRPr="006E0CB9">
        <w:t xml:space="preserve"> shall be binding unless executed in writi</w:t>
      </w:r>
      <w:r w:rsidRPr="009007AF">
        <w:t xml:space="preserve">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231D5F6A" w14:textId="77777777" w:rsidR="00635D06" w:rsidRDefault="00635D06" w:rsidP="00EE3E1F">
      <w:pPr>
        <w:pStyle w:val="BodyText"/>
        <w:jc w:val="center"/>
      </w:pPr>
    </w:p>
    <w:p w14:paraId="6191A18B" w14:textId="5658AE23"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03425737" w:rsidR="00EE3E1F" w:rsidRPr="00090451" w:rsidRDefault="00683F16" w:rsidP="009A645B">
      <w:pPr>
        <w:pStyle w:val="BodyText"/>
        <w:spacing w:after="0"/>
      </w:pPr>
      <w:r>
        <w:t>AGS AMERICA INC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2FE50110" w:rsidR="00EE3E1F" w:rsidRPr="006E0CB9"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4754B1">
        <w:rPr>
          <w:u w:val="single"/>
        </w:rPr>
        <w:tab/>
      </w:r>
      <w:r w:rsidR="004754B1">
        <w:rPr>
          <w:u w:val="single"/>
        </w:rPr>
        <w:tab/>
      </w:r>
      <w:r w:rsidR="00433805">
        <w:rPr>
          <w:u w:val="single"/>
        </w:rPr>
        <w:tab/>
      </w:r>
      <w:r w:rsidR="00433805">
        <w:rPr>
          <w:u w:val="single"/>
        </w:rPr>
        <w:tab/>
      </w:r>
      <w:r w:rsidR="00433805">
        <w:rPr>
          <w:u w:val="single"/>
        </w:rPr>
        <w:tab/>
      </w:r>
      <w:r w:rsidR="004754B1">
        <w:rPr>
          <w:u w:val="single"/>
        </w:rPr>
        <w:tab/>
      </w:r>
      <w:r w:rsidRPr="00090451">
        <w:tab/>
        <w:t xml:space="preserve">          </w:t>
      </w:r>
      <w:r w:rsidRPr="00090451">
        <w:tab/>
        <w:t>Witness</w:t>
      </w:r>
      <w:r w:rsidRPr="00090451">
        <w:br/>
        <w:t>Titl</w:t>
      </w:r>
      <w:r w:rsidRPr="006E0CB9">
        <w:t>e</w:t>
      </w:r>
      <w:r w:rsidR="00433805" w:rsidRPr="006E0CB9">
        <w:t xml:space="preserve">: </w:t>
      </w:r>
      <w:r w:rsidR="00433805" w:rsidRPr="006E0CB9">
        <w:rPr>
          <w:u w:val="single"/>
        </w:rPr>
        <w:tab/>
      </w:r>
      <w:r w:rsidR="004754B1" w:rsidRPr="006E0CB9">
        <w:rPr>
          <w:u w:val="single"/>
        </w:rPr>
        <w:tab/>
      </w:r>
      <w:r w:rsidR="00433805" w:rsidRPr="006E0CB9">
        <w:rPr>
          <w:u w:val="single"/>
        </w:rPr>
        <w:tab/>
      </w:r>
      <w:r w:rsidR="00433805" w:rsidRPr="006E0CB9">
        <w:rPr>
          <w:u w:val="single"/>
        </w:rPr>
        <w:tab/>
      </w:r>
      <w:r w:rsidR="00433805" w:rsidRPr="006E0CB9">
        <w:rPr>
          <w:u w:val="single"/>
        </w:rPr>
        <w:tab/>
      </w:r>
      <w:r w:rsidR="00433805" w:rsidRPr="006E0CB9">
        <w:rPr>
          <w:u w:val="single"/>
        </w:rPr>
        <w:tab/>
      </w:r>
    </w:p>
    <w:p w14:paraId="55F79BC7" w14:textId="77777777" w:rsidR="009A645B" w:rsidRPr="006E0CB9" w:rsidRDefault="009A645B" w:rsidP="009A645B">
      <w:pPr>
        <w:pStyle w:val="BodyText"/>
        <w:spacing w:after="0"/>
        <w:rPr>
          <w:b/>
        </w:rPr>
      </w:pPr>
    </w:p>
    <w:p w14:paraId="171FF6A4" w14:textId="77777777" w:rsidR="00F852E1" w:rsidRPr="006E0CB9" w:rsidRDefault="00F852E1" w:rsidP="009A645B">
      <w:pPr>
        <w:pStyle w:val="BodyText"/>
        <w:spacing w:after="0"/>
        <w:rPr>
          <w:b/>
        </w:rPr>
      </w:pPr>
    </w:p>
    <w:p w14:paraId="4045A0C9" w14:textId="77777777" w:rsidR="00F852E1" w:rsidRPr="006E0CB9" w:rsidRDefault="00F852E1" w:rsidP="00F852E1">
      <w:pPr>
        <w:pStyle w:val="BodyText"/>
        <w:spacing w:after="0"/>
        <w:rPr>
          <w:b/>
        </w:rPr>
      </w:pPr>
      <w:r w:rsidRPr="006E0CB9">
        <w:rPr>
          <w:b/>
        </w:rPr>
        <w:t xml:space="preserve">GUARANTOR:  </w:t>
      </w:r>
    </w:p>
    <w:p w14:paraId="4A360321" w14:textId="77777777" w:rsidR="00F852E1" w:rsidRPr="006E0CB9" w:rsidRDefault="00F852E1" w:rsidP="00F852E1">
      <w:pPr>
        <w:pStyle w:val="BodyText"/>
        <w:spacing w:after="0"/>
        <w:rPr>
          <w:b/>
        </w:rPr>
      </w:pPr>
    </w:p>
    <w:p w14:paraId="6797E873" w14:textId="77777777" w:rsidR="004754B1" w:rsidRPr="006E0CB9" w:rsidRDefault="004754B1" w:rsidP="004754B1">
      <w:pPr>
        <w:pStyle w:val="BodyText"/>
        <w:spacing w:after="0"/>
      </w:pPr>
      <w:r w:rsidRPr="006E0CB9">
        <w:t>[ENTITY NAME]</w:t>
      </w:r>
    </w:p>
    <w:p w14:paraId="4049A08B" w14:textId="77777777" w:rsidR="004754B1" w:rsidRPr="006E0CB9" w:rsidRDefault="004754B1" w:rsidP="004754B1">
      <w:pPr>
        <w:pStyle w:val="BodyText"/>
        <w:spacing w:after="0"/>
      </w:pPr>
    </w:p>
    <w:p w14:paraId="2C0CDFEC" w14:textId="77777777" w:rsidR="004754B1" w:rsidRPr="006E0CB9" w:rsidRDefault="004754B1" w:rsidP="004754B1">
      <w:pPr>
        <w:pStyle w:val="BodyText"/>
        <w:spacing w:after="0"/>
      </w:pPr>
    </w:p>
    <w:p w14:paraId="75B39970" w14:textId="63A0D4B4" w:rsidR="004754B1" w:rsidRPr="006E0CB9" w:rsidRDefault="004754B1" w:rsidP="004754B1">
      <w:pPr>
        <w:pStyle w:val="BodyText"/>
        <w:spacing w:after="0"/>
        <w:rPr>
          <w:u w:val="single"/>
        </w:rPr>
      </w:pPr>
      <w:r w:rsidRPr="006E0CB9">
        <w:t xml:space="preserve">By:  </w:t>
      </w:r>
      <w:r w:rsidRPr="006E0CB9">
        <w:rPr>
          <w:u w:val="single"/>
        </w:rPr>
        <w:tab/>
      </w:r>
      <w:r w:rsidRPr="006E0CB9">
        <w:rPr>
          <w:u w:val="single"/>
        </w:rPr>
        <w:tab/>
      </w:r>
      <w:r w:rsidRPr="006E0CB9">
        <w:rPr>
          <w:u w:val="single"/>
        </w:rPr>
        <w:tab/>
      </w:r>
      <w:r w:rsidRPr="006E0CB9">
        <w:rPr>
          <w:u w:val="single"/>
        </w:rPr>
        <w:tab/>
      </w:r>
      <w:r w:rsidRPr="006E0CB9">
        <w:rPr>
          <w:u w:val="single"/>
        </w:rPr>
        <w:tab/>
      </w:r>
      <w:r w:rsidRPr="006E0CB9">
        <w:rPr>
          <w:u w:val="single"/>
        </w:rPr>
        <w:tab/>
      </w:r>
      <w:r w:rsidRPr="006E0CB9">
        <w:tab/>
      </w:r>
      <w:r w:rsidRPr="006E0CB9">
        <w:tab/>
        <w:t>__________________________</w:t>
      </w:r>
      <w:r w:rsidRPr="006E0CB9">
        <w:br/>
        <w:t xml:space="preserve">Name: </w:t>
      </w:r>
      <w:r w:rsidRPr="006E0CB9">
        <w:rPr>
          <w:u w:val="single"/>
        </w:rPr>
        <w:tab/>
      </w:r>
      <w:r w:rsidRPr="006E0CB9">
        <w:rPr>
          <w:u w:val="single"/>
        </w:rPr>
        <w:tab/>
      </w:r>
      <w:r w:rsidRPr="006E0CB9">
        <w:rPr>
          <w:u w:val="single"/>
        </w:rPr>
        <w:tab/>
      </w:r>
      <w:r w:rsidRPr="006E0CB9">
        <w:rPr>
          <w:u w:val="single"/>
        </w:rPr>
        <w:tab/>
      </w:r>
      <w:r w:rsidRPr="006E0CB9">
        <w:rPr>
          <w:u w:val="single"/>
        </w:rPr>
        <w:tab/>
      </w:r>
      <w:r w:rsidRPr="006E0CB9">
        <w:rPr>
          <w:u w:val="single"/>
        </w:rPr>
        <w:tab/>
      </w:r>
      <w:r w:rsidRPr="006E0CB9">
        <w:tab/>
        <w:t xml:space="preserve">          </w:t>
      </w:r>
      <w:r w:rsidRPr="006E0CB9">
        <w:tab/>
        <w:t>Witness</w:t>
      </w:r>
      <w:r w:rsidRPr="006E0CB9">
        <w:br/>
        <w:t xml:space="preserve">Title: </w:t>
      </w:r>
      <w:r w:rsidRPr="006E0CB9">
        <w:rPr>
          <w:u w:val="single"/>
        </w:rPr>
        <w:tab/>
      </w:r>
      <w:r w:rsidRPr="006E0CB9">
        <w:rPr>
          <w:u w:val="single"/>
        </w:rPr>
        <w:tab/>
      </w:r>
      <w:r w:rsidRPr="006E0CB9">
        <w:rPr>
          <w:u w:val="single"/>
        </w:rPr>
        <w:tab/>
      </w:r>
      <w:r w:rsidRPr="006E0CB9">
        <w:rPr>
          <w:u w:val="single"/>
        </w:rPr>
        <w:tab/>
      </w:r>
      <w:r w:rsidRPr="006E0CB9">
        <w:rPr>
          <w:u w:val="single"/>
        </w:rPr>
        <w:tab/>
      </w:r>
      <w:r w:rsidRPr="006E0CB9">
        <w:rPr>
          <w:u w:val="single"/>
        </w:rPr>
        <w:tab/>
      </w:r>
    </w:p>
    <w:p w14:paraId="1D88BD19" w14:textId="77777777" w:rsidR="00F852E1" w:rsidRPr="006E0CB9" w:rsidRDefault="00F852E1" w:rsidP="009A645B">
      <w:pPr>
        <w:pStyle w:val="BodyText"/>
        <w:spacing w:after="0"/>
        <w:rPr>
          <w:b/>
        </w:rPr>
      </w:pPr>
    </w:p>
    <w:p w14:paraId="21CB2573" w14:textId="77777777" w:rsidR="00F852E1" w:rsidRPr="006E0CB9" w:rsidRDefault="00F852E1" w:rsidP="009A645B">
      <w:pPr>
        <w:pStyle w:val="BodyText"/>
        <w:spacing w:after="0"/>
        <w:rPr>
          <w:b/>
        </w:rPr>
      </w:pPr>
    </w:p>
    <w:p w14:paraId="09687D8E" w14:textId="77777777" w:rsidR="00EE3E1F" w:rsidRPr="006E0CB9" w:rsidRDefault="00EE3E1F" w:rsidP="009A645B">
      <w:pPr>
        <w:pStyle w:val="BodyText"/>
        <w:spacing w:after="0"/>
        <w:rPr>
          <w:b/>
        </w:rPr>
      </w:pPr>
      <w:r w:rsidRPr="006E0CB9">
        <w:rPr>
          <w:b/>
        </w:rPr>
        <w:t xml:space="preserve">LESSOR:  </w:t>
      </w:r>
    </w:p>
    <w:p w14:paraId="08A55CB9" w14:textId="77777777" w:rsidR="009A645B" w:rsidRPr="006E0CB9" w:rsidRDefault="009A645B" w:rsidP="009A645B">
      <w:pPr>
        <w:pStyle w:val="BodyText"/>
        <w:spacing w:after="0"/>
      </w:pPr>
    </w:p>
    <w:p w14:paraId="4AE2D828" w14:textId="24CE0F2D" w:rsidR="00EE3E1F" w:rsidRPr="006E0CB9" w:rsidRDefault="00340889" w:rsidP="009A645B">
      <w:pPr>
        <w:pStyle w:val="BodyText"/>
        <w:spacing w:after="0"/>
      </w:pPr>
      <w:r w:rsidRPr="006E0CB9">
        <w:t>HOLLINGSWORTH INVESTMENTS VIII</w:t>
      </w:r>
    </w:p>
    <w:p w14:paraId="7B8B6426" w14:textId="77777777" w:rsidR="009A645B" w:rsidRPr="006E0CB9" w:rsidRDefault="009A645B" w:rsidP="009A645B">
      <w:pPr>
        <w:pStyle w:val="BodyText"/>
        <w:spacing w:after="0"/>
      </w:pPr>
    </w:p>
    <w:p w14:paraId="2D8DFC0B" w14:textId="77777777" w:rsidR="009A645B" w:rsidRPr="006E0CB9" w:rsidRDefault="009A645B" w:rsidP="009A645B">
      <w:pPr>
        <w:pStyle w:val="BodyText"/>
        <w:spacing w:after="0"/>
      </w:pPr>
    </w:p>
    <w:p w14:paraId="3B0AFDC0" w14:textId="5E27E75F" w:rsidR="00EE3E1F" w:rsidRPr="00090451" w:rsidRDefault="00EE3E1F" w:rsidP="009A645B">
      <w:pPr>
        <w:pStyle w:val="BodyText"/>
        <w:spacing w:after="0"/>
      </w:pPr>
      <w:r w:rsidRPr="006E0CB9">
        <w:t>By:  _________________________________</w:t>
      </w:r>
      <w:r w:rsidRPr="006E0CB9">
        <w:tab/>
      </w:r>
      <w:r w:rsidRPr="006E0CB9">
        <w:tab/>
        <w:t>__________________________</w:t>
      </w:r>
      <w:r w:rsidRPr="006E0CB9">
        <w:br/>
        <w:t xml:space="preserve">        Joseph A. Hollingsworth, Jr. </w:t>
      </w:r>
      <w:r w:rsidRPr="006E0CB9">
        <w:tab/>
      </w:r>
      <w:r w:rsidRPr="006E0CB9">
        <w:tab/>
      </w:r>
      <w:r w:rsidRPr="006E0CB9">
        <w:tab/>
      </w:r>
      <w:r w:rsidRPr="006E0CB9">
        <w:tab/>
        <w:t>Witness</w:t>
      </w:r>
      <w:r w:rsidRPr="006E0CB9">
        <w:br/>
        <w:t xml:space="preserve">        Managing </w:t>
      </w:r>
      <w:r w:rsidR="004754B1" w:rsidRPr="006E0CB9">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0785E951" w:rsidR="009833A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6E0CB9">
        <w:rPr>
          <w:noProof/>
          <w:sz w:val="12"/>
          <w:szCs w:val="12"/>
        </w:rPr>
        <w:t>\\hw-srv02.hollingsworth.local\shared\jburns\PROPERTIES\TENNESSEE\TA-165 Lot 1\Leases\Prospects\AGS America Inc. (12.2021)\Addendum No. 1 AGS v1.2 (12.23.21).docx</w:t>
      </w:r>
      <w:r w:rsidR="00C257D8" w:rsidRPr="00C257D8">
        <w:rPr>
          <w:sz w:val="12"/>
          <w:szCs w:val="12"/>
        </w:rPr>
        <w:fldChar w:fldCharType="end"/>
      </w:r>
    </w:p>
    <w:p w14:paraId="798731F2" w14:textId="52941742" w:rsidR="00FC0996" w:rsidRDefault="00FC0996" w:rsidP="009A645B">
      <w:pPr>
        <w:rPr>
          <w:sz w:val="12"/>
          <w:szCs w:val="12"/>
        </w:rPr>
      </w:pPr>
    </w:p>
    <w:p w14:paraId="164D330B" w14:textId="77777777" w:rsidR="00FC0996" w:rsidRPr="00C257D8" w:rsidRDefault="00FC0996" w:rsidP="009A645B">
      <w:pPr>
        <w:rPr>
          <w:sz w:val="12"/>
          <w:szCs w:val="12"/>
        </w:rPr>
      </w:pPr>
    </w:p>
    <w:sectPr w:rsidR="00FC0996"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CB30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3373C"/>
    <w:multiLevelType w:val="hybridMultilevel"/>
    <w:tmpl w:val="EAC2B65A"/>
    <w:lvl w:ilvl="0" w:tplc="1AF47718">
      <w:start w:val="1"/>
      <w:numFmt w:val="decimal"/>
      <w:pStyle w:val="kj"/>
      <w:lvlText w:val="%1."/>
      <w:lvlJc w:val="left"/>
      <w:pPr>
        <w:ind w:left="652" w:hanging="541"/>
      </w:pPr>
      <w:rPr>
        <w:rFonts w:ascii="Times New Roman" w:eastAsia="Times New Roman" w:hAnsi="Times New Roman" w:cs="Times New Roman" w:hint="default"/>
        <w:b/>
        <w:bCs/>
        <w:w w:val="100"/>
        <w:sz w:val="22"/>
        <w:szCs w:val="22"/>
      </w:rPr>
    </w:lvl>
    <w:lvl w:ilvl="1" w:tplc="37CE6252">
      <w:numFmt w:val="bullet"/>
      <w:lvlText w:val="•"/>
      <w:lvlJc w:val="left"/>
      <w:pPr>
        <w:ind w:left="1610" w:hanging="541"/>
      </w:pPr>
      <w:rPr>
        <w:rFonts w:hint="default"/>
      </w:rPr>
    </w:lvl>
    <w:lvl w:ilvl="2" w:tplc="57FA9260">
      <w:numFmt w:val="bullet"/>
      <w:lvlText w:val="•"/>
      <w:lvlJc w:val="left"/>
      <w:pPr>
        <w:ind w:left="2560" w:hanging="541"/>
      </w:pPr>
      <w:rPr>
        <w:rFonts w:hint="default"/>
      </w:rPr>
    </w:lvl>
    <w:lvl w:ilvl="3" w:tplc="EC18F2F6">
      <w:numFmt w:val="bullet"/>
      <w:lvlText w:val="•"/>
      <w:lvlJc w:val="left"/>
      <w:pPr>
        <w:ind w:left="3510" w:hanging="541"/>
      </w:pPr>
      <w:rPr>
        <w:rFonts w:hint="default"/>
      </w:rPr>
    </w:lvl>
    <w:lvl w:ilvl="4" w:tplc="918628DC">
      <w:numFmt w:val="bullet"/>
      <w:lvlText w:val="•"/>
      <w:lvlJc w:val="left"/>
      <w:pPr>
        <w:ind w:left="4460" w:hanging="541"/>
      </w:pPr>
      <w:rPr>
        <w:rFonts w:hint="default"/>
      </w:rPr>
    </w:lvl>
    <w:lvl w:ilvl="5" w:tplc="C3342D6E">
      <w:numFmt w:val="bullet"/>
      <w:lvlText w:val="•"/>
      <w:lvlJc w:val="left"/>
      <w:pPr>
        <w:ind w:left="5410" w:hanging="541"/>
      </w:pPr>
      <w:rPr>
        <w:rFonts w:hint="default"/>
      </w:rPr>
    </w:lvl>
    <w:lvl w:ilvl="6" w:tplc="5C8493EA">
      <w:numFmt w:val="bullet"/>
      <w:lvlText w:val="•"/>
      <w:lvlJc w:val="left"/>
      <w:pPr>
        <w:ind w:left="6360" w:hanging="541"/>
      </w:pPr>
      <w:rPr>
        <w:rFonts w:hint="default"/>
      </w:rPr>
    </w:lvl>
    <w:lvl w:ilvl="7" w:tplc="134CA382">
      <w:numFmt w:val="bullet"/>
      <w:lvlText w:val="•"/>
      <w:lvlJc w:val="left"/>
      <w:pPr>
        <w:ind w:left="7310" w:hanging="541"/>
      </w:pPr>
      <w:rPr>
        <w:rFonts w:hint="default"/>
      </w:rPr>
    </w:lvl>
    <w:lvl w:ilvl="8" w:tplc="50F2AAB6">
      <w:numFmt w:val="bullet"/>
      <w:lvlText w:val="•"/>
      <w:lvlJc w:val="left"/>
      <w:pPr>
        <w:ind w:left="8260" w:hanging="541"/>
      </w:pPr>
      <w:rPr>
        <w:rFonts w:hint="default"/>
      </w:rPr>
    </w:lvl>
  </w:abstractNum>
  <w:abstractNum w:abstractNumId="6"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2CF3"/>
    <w:rsid w:val="00005B29"/>
    <w:rsid w:val="00027D2A"/>
    <w:rsid w:val="000303CB"/>
    <w:rsid w:val="00041529"/>
    <w:rsid w:val="00045BBF"/>
    <w:rsid w:val="00050EFA"/>
    <w:rsid w:val="000526FC"/>
    <w:rsid w:val="00052747"/>
    <w:rsid w:val="000625FC"/>
    <w:rsid w:val="00076FA1"/>
    <w:rsid w:val="00083511"/>
    <w:rsid w:val="00083A42"/>
    <w:rsid w:val="00084E8C"/>
    <w:rsid w:val="000C0023"/>
    <w:rsid w:val="000D54F6"/>
    <w:rsid w:val="001126FC"/>
    <w:rsid w:val="0012595F"/>
    <w:rsid w:val="00146B5C"/>
    <w:rsid w:val="00177387"/>
    <w:rsid w:val="00181973"/>
    <w:rsid w:val="001838C1"/>
    <w:rsid w:val="00196802"/>
    <w:rsid w:val="00197ECC"/>
    <w:rsid w:val="001B13E7"/>
    <w:rsid w:val="001B4FA3"/>
    <w:rsid w:val="001C58DC"/>
    <w:rsid w:val="001D1F23"/>
    <w:rsid w:val="001F60A9"/>
    <w:rsid w:val="00230F0F"/>
    <w:rsid w:val="00243A47"/>
    <w:rsid w:val="002466BF"/>
    <w:rsid w:val="002548C7"/>
    <w:rsid w:val="00255540"/>
    <w:rsid w:val="00255E72"/>
    <w:rsid w:val="002A1EE2"/>
    <w:rsid w:val="002B1E86"/>
    <w:rsid w:val="002D0088"/>
    <w:rsid w:val="002E6B1E"/>
    <w:rsid w:val="002E7FD0"/>
    <w:rsid w:val="002F2FFE"/>
    <w:rsid w:val="00305BF1"/>
    <w:rsid w:val="0031787B"/>
    <w:rsid w:val="003301B2"/>
    <w:rsid w:val="00340889"/>
    <w:rsid w:val="00356DC7"/>
    <w:rsid w:val="00364AFB"/>
    <w:rsid w:val="00372004"/>
    <w:rsid w:val="00372E63"/>
    <w:rsid w:val="00380C8E"/>
    <w:rsid w:val="0038287D"/>
    <w:rsid w:val="003931D1"/>
    <w:rsid w:val="003A143B"/>
    <w:rsid w:val="003A6E49"/>
    <w:rsid w:val="003D7CB7"/>
    <w:rsid w:val="003D7D8E"/>
    <w:rsid w:val="003E7F9F"/>
    <w:rsid w:val="003F1709"/>
    <w:rsid w:val="004150AE"/>
    <w:rsid w:val="00416FF8"/>
    <w:rsid w:val="00433805"/>
    <w:rsid w:val="004425E1"/>
    <w:rsid w:val="00453E39"/>
    <w:rsid w:val="004754B1"/>
    <w:rsid w:val="004815FD"/>
    <w:rsid w:val="00482B29"/>
    <w:rsid w:val="00484153"/>
    <w:rsid w:val="00490C57"/>
    <w:rsid w:val="00493706"/>
    <w:rsid w:val="004A45B2"/>
    <w:rsid w:val="004B3073"/>
    <w:rsid w:val="004D2D36"/>
    <w:rsid w:val="004E2DEB"/>
    <w:rsid w:val="005154DC"/>
    <w:rsid w:val="00542FA5"/>
    <w:rsid w:val="005474B2"/>
    <w:rsid w:val="005615FA"/>
    <w:rsid w:val="00576492"/>
    <w:rsid w:val="00587470"/>
    <w:rsid w:val="005A501B"/>
    <w:rsid w:val="005B33F8"/>
    <w:rsid w:val="005E16D9"/>
    <w:rsid w:val="005E3BBE"/>
    <w:rsid w:val="005E6337"/>
    <w:rsid w:val="006329E0"/>
    <w:rsid w:val="00635D06"/>
    <w:rsid w:val="00642EE0"/>
    <w:rsid w:val="006661D2"/>
    <w:rsid w:val="00683F16"/>
    <w:rsid w:val="00684AE3"/>
    <w:rsid w:val="00691E01"/>
    <w:rsid w:val="006A709A"/>
    <w:rsid w:val="006C557A"/>
    <w:rsid w:val="006C596C"/>
    <w:rsid w:val="006C6053"/>
    <w:rsid w:val="006D044E"/>
    <w:rsid w:val="006D144C"/>
    <w:rsid w:val="006E0CB9"/>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E1E00"/>
    <w:rsid w:val="007F7CBE"/>
    <w:rsid w:val="008228D5"/>
    <w:rsid w:val="0083612B"/>
    <w:rsid w:val="00860FAB"/>
    <w:rsid w:val="00862E15"/>
    <w:rsid w:val="00865D1E"/>
    <w:rsid w:val="0086667C"/>
    <w:rsid w:val="0087704E"/>
    <w:rsid w:val="00881D17"/>
    <w:rsid w:val="00886443"/>
    <w:rsid w:val="00897AB9"/>
    <w:rsid w:val="008A3357"/>
    <w:rsid w:val="008A5C5D"/>
    <w:rsid w:val="008D1028"/>
    <w:rsid w:val="008F7495"/>
    <w:rsid w:val="00900362"/>
    <w:rsid w:val="009007AF"/>
    <w:rsid w:val="00900852"/>
    <w:rsid w:val="009543AC"/>
    <w:rsid w:val="009703D2"/>
    <w:rsid w:val="00975A7C"/>
    <w:rsid w:val="009833A8"/>
    <w:rsid w:val="009A645B"/>
    <w:rsid w:val="009B1094"/>
    <w:rsid w:val="009B1B54"/>
    <w:rsid w:val="009B6FF5"/>
    <w:rsid w:val="009C1A5C"/>
    <w:rsid w:val="009D39BD"/>
    <w:rsid w:val="009E791A"/>
    <w:rsid w:val="009F3397"/>
    <w:rsid w:val="009F7F7E"/>
    <w:rsid w:val="00A03671"/>
    <w:rsid w:val="00A327FA"/>
    <w:rsid w:val="00A3287D"/>
    <w:rsid w:val="00A330C2"/>
    <w:rsid w:val="00A475E7"/>
    <w:rsid w:val="00A52664"/>
    <w:rsid w:val="00A5404F"/>
    <w:rsid w:val="00A648B8"/>
    <w:rsid w:val="00A714CB"/>
    <w:rsid w:val="00A73CBE"/>
    <w:rsid w:val="00AB0730"/>
    <w:rsid w:val="00AC6375"/>
    <w:rsid w:val="00AD4264"/>
    <w:rsid w:val="00AD5EE7"/>
    <w:rsid w:val="00AD78B0"/>
    <w:rsid w:val="00AE72D6"/>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E0E71"/>
    <w:rsid w:val="00BF2F61"/>
    <w:rsid w:val="00BF5ED9"/>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7909"/>
    <w:rsid w:val="00D82050"/>
    <w:rsid w:val="00DC1DA3"/>
    <w:rsid w:val="00DD7733"/>
    <w:rsid w:val="00E83429"/>
    <w:rsid w:val="00E919D6"/>
    <w:rsid w:val="00E92D74"/>
    <w:rsid w:val="00EE3E1F"/>
    <w:rsid w:val="00F06533"/>
    <w:rsid w:val="00F14602"/>
    <w:rsid w:val="00F30599"/>
    <w:rsid w:val="00F3656F"/>
    <w:rsid w:val="00F46F49"/>
    <w:rsid w:val="00F51249"/>
    <w:rsid w:val="00F618B4"/>
    <w:rsid w:val="00F7778D"/>
    <w:rsid w:val="00F80AEF"/>
    <w:rsid w:val="00F852E1"/>
    <w:rsid w:val="00F93758"/>
    <w:rsid w:val="00F96D2C"/>
    <w:rsid w:val="00FA1C9E"/>
    <w:rsid w:val="00FB2CF4"/>
    <w:rsid w:val="00FC0996"/>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paragraph" w:styleId="Heading1">
    <w:name w:val="heading 1"/>
    <w:basedOn w:val="Normal"/>
    <w:next w:val="Normal"/>
    <w:link w:val="Heading1Char"/>
    <w:uiPriority w:val="9"/>
    <w:qFormat/>
    <w:rsid w:val="00FC09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paragraph" w:customStyle="1" w:styleId="kj">
    <w:name w:val="kj"/>
    <w:basedOn w:val="Heading1"/>
    <w:rsid w:val="00FC0996"/>
    <w:pPr>
      <w:keepLines w:val="0"/>
      <w:widowControl w:val="0"/>
      <w:numPr>
        <w:numId w:val="8"/>
      </w:numPr>
      <w:tabs>
        <w:tab w:val="num" w:pos="1005"/>
      </w:tabs>
      <w:autoSpaceDE w:val="0"/>
      <w:autoSpaceDN w:val="0"/>
      <w:spacing w:before="0" w:after="240"/>
      <w:ind w:left="1005" w:hanging="360"/>
      <w:jc w:val="both"/>
    </w:pPr>
    <w:rPr>
      <w:rFonts w:ascii="Times New Roman" w:eastAsia="Times New Roman" w:hAnsi="Times New Roman" w:cs="Times New Roman"/>
      <w:b/>
      <w:bCs/>
      <w:color w:val="auto"/>
      <w:sz w:val="22"/>
      <w:szCs w:val="22"/>
      <w:u w:val="thick"/>
    </w:rPr>
  </w:style>
  <w:style w:type="character" w:customStyle="1" w:styleId="Heading1Char">
    <w:name w:val="Heading 1 Char"/>
    <w:basedOn w:val="DefaultParagraphFont"/>
    <w:link w:val="Heading1"/>
    <w:uiPriority w:val="9"/>
    <w:rsid w:val="00FC09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E7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2</cp:revision>
  <cp:lastPrinted>2021-12-21T17:39:00Z</cp:lastPrinted>
  <dcterms:created xsi:type="dcterms:W3CDTF">2021-12-23T14:19:00Z</dcterms:created>
  <dcterms:modified xsi:type="dcterms:W3CDTF">2021-12-23T14:19:00Z</dcterms:modified>
</cp:coreProperties>
</file>